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河南省企业安全生产标准化技术专家推荐表</w:t>
      </w:r>
    </w:p>
    <w:tbl>
      <w:tblPr>
        <w:tblStyle w:val="6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396"/>
        <w:gridCol w:w="449"/>
        <w:gridCol w:w="458"/>
        <w:gridCol w:w="262"/>
        <w:gridCol w:w="401"/>
        <w:gridCol w:w="312"/>
        <w:gridCol w:w="990"/>
        <w:gridCol w:w="153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性别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民族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近期正面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出生日期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面貌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学位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pacing w:val="-14"/>
                <w:sz w:val="24"/>
              </w:rPr>
              <w:t>现从事行业专业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技术职称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所在单位名称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行政职务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通讯地址</w:t>
            </w:r>
          </w:p>
        </w:tc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邮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编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手机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电子邮箱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从事标准化工作简历及工作成就简况（包括学术论文、科研成果、发明创造等）</w:t>
            </w:r>
          </w:p>
        </w:tc>
        <w:tc>
          <w:tcPr>
            <w:tcW w:w="7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可参加的标准化评审活动</w:t>
            </w:r>
          </w:p>
        </w:tc>
        <w:tc>
          <w:tcPr>
            <w:tcW w:w="7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冶金□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有色□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建材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机械□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轻工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纺织□</w:t>
            </w:r>
          </w:p>
          <w:p>
            <w:pPr>
              <w:widowControl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烟草□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商贸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 w:val="0"/>
                <w:bCs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778" w:type="dxa"/>
            <w:gridSpan w:val="9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仿宋简体" w:hAnsi="宋体" w:eastAsia="方正仿宋简体"/>
                <w:b w:val="0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方正仿宋简体" w:hAnsi="宋体" w:eastAsia="方正仿宋简体"/>
                <w:b w:val="0"/>
                <w:bCs/>
                <w:color w:val="000000"/>
                <w:sz w:val="24"/>
                <w:szCs w:val="24"/>
              </w:rPr>
              <w:t>本人承诺提供的材料真实、准确，符合《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河南省企业二级安全生产标准化建设定级办法</w:t>
            </w:r>
            <w:r>
              <w:rPr>
                <w:rFonts w:hint="eastAsia" w:ascii="方正仿宋简体" w:hAnsi="宋体" w:eastAsia="方正仿宋简体"/>
                <w:b w:val="0"/>
                <w:bCs/>
                <w:color w:val="000000"/>
                <w:sz w:val="24"/>
                <w:szCs w:val="24"/>
              </w:rPr>
              <w:t>》的有关要求。能积极参加标准化活动，认真履行专家的各项职责和义务。</w:t>
            </w:r>
          </w:p>
          <w:p>
            <w:pP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</w:p>
          <w:p>
            <w:pPr>
              <w:ind w:right="525" w:firstLine="102" w:firstLineChars="49"/>
              <w:jc w:val="right"/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本人签字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）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</w:rPr>
              <w:t>推荐单位意见</w:t>
            </w:r>
          </w:p>
        </w:tc>
        <w:tc>
          <w:tcPr>
            <w:tcW w:w="7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420"/>
              <w:jc w:val="right"/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同意推荐其担任河南省应急管理厅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工贸行业企业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安全生产标准化技术专家。</w:t>
            </w:r>
          </w:p>
          <w:p>
            <w:pP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</w:p>
          <w:p>
            <w:pPr>
              <w:ind w:right="525" w:firstLine="102" w:firstLineChars="49"/>
              <w:jc w:val="right"/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（单位公章）</w:t>
            </w:r>
          </w:p>
          <w:p>
            <w:pPr>
              <w:tabs>
                <w:tab w:val="left" w:pos="615"/>
              </w:tabs>
              <w:ind w:firstLine="5611" w:firstLineChars="2672"/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b w:val="0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WNiYzJlNTk5ZmYwNzNiODk3MDAzZmE4MTRhYjYifQ=="/>
  </w:docVars>
  <w:rsids>
    <w:rsidRoot w:val="3D4001FD"/>
    <w:rsid w:val="3D4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2023-07-07T08:11:00Z</dcterms:created>
  <dc:creator>媛my િ</dc:creator>
  <cp:lastModifiedBy>媛my િ</cp:lastModifiedBy>
  <dcterms:modified xsi:type="dcterms:W3CDTF">2023-07-07T08:11:16Z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DC3E594C47AD4A04891BB79607DCF371_11</vt:lpwstr>
  </property>
</Properties>
</file>